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8" w:rsidRPr="00451738" w:rsidRDefault="00451738" w:rsidP="00451738">
      <w:pPr>
        <w:shd w:val="clear" w:color="auto" w:fill="FFFFFF"/>
        <w:spacing w:before="100" w:beforeAutospacing="1" w:after="100" w:afterAutospacing="1" w:line="375" w:lineRule="atLeast"/>
        <w:jc w:val="center"/>
        <w:outlineLvl w:val="0"/>
        <w:rPr>
          <w:rFonts w:ascii="Geneva" w:eastAsia="Times New Roman" w:hAnsi="Geneva" w:cs="Times New Roman"/>
          <w:b/>
          <w:bCs/>
          <w:color w:val="4A4A4A"/>
          <w:kern w:val="36"/>
          <w:sz w:val="30"/>
          <w:szCs w:val="30"/>
          <w:lang w:eastAsia="ru-RU"/>
        </w:rPr>
      </w:pPr>
      <w:r w:rsidRPr="00451738">
        <w:rPr>
          <w:rFonts w:ascii="Calibri" w:eastAsia="Times New Roman" w:hAnsi="Calibri" w:cs="Calibri"/>
          <w:b/>
          <w:bCs/>
          <w:color w:val="4A4A4A"/>
          <w:kern w:val="36"/>
          <w:sz w:val="30"/>
          <w:szCs w:val="30"/>
          <w:lang w:eastAsia="ru-RU"/>
        </w:rPr>
        <w:t>Охрана</w:t>
      </w:r>
      <w:r w:rsidRPr="00451738">
        <w:rPr>
          <w:rFonts w:ascii="Geneva" w:eastAsia="Times New Roman" w:hAnsi="Geneva" w:cs="Times New Roman"/>
          <w:b/>
          <w:bCs/>
          <w:color w:val="4A4A4A"/>
          <w:kern w:val="36"/>
          <w:sz w:val="30"/>
          <w:szCs w:val="30"/>
          <w:lang w:eastAsia="ru-RU"/>
        </w:rPr>
        <w:t xml:space="preserve"> </w:t>
      </w:r>
      <w:r w:rsidRPr="00451738">
        <w:rPr>
          <w:rFonts w:ascii="Calibri" w:eastAsia="Times New Roman" w:hAnsi="Calibri" w:cs="Calibri"/>
          <w:b/>
          <w:bCs/>
          <w:color w:val="4A4A4A"/>
          <w:kern w:val="36"/>
          <w:sz w:val="30"/>
          <w:szCs w:val="30"/>
          <w:lang w:eastAsia="ru-RU"/>
        </w:rPr>
        <w:t>труда</w:t>
      </w:r>
      <w:r w:rsidRPr="00451738">
        <w:rPr>
          <w:rFonts w:ascii="Geneva" w:eastAsia="Times New Roman" w:hAnsi="Geneva" w:cs="Times New Roman"/>
          <w:b/>
          <w:bCs/>
          <w:color w:val="4A4A4A"/>
          <w:kern w:val="36"/>
          <w:sz w:val="30"/>
          <w:szCs w:val="30"/>
          <w:lang w:eastAsia="ru-RU"/>
        </w:rPr>
        <w:t xml:space="preserve"> </w:t>
      </w:r>
      <w:r w:rsidRPr="00451738">
        <w:rPr>
          <w:rFonts w:ascii="Calibri" w:eastAsia="Times New Roman" w:hAnsi="Calibri" w:cs="Calibri"/>
          <w:b/>
          <w:bCs/>
          <w:color w:val="4A4A4A"/>
          <w:kern w:val="36"/>
          <w:sz w:val="30"/>
          <w:szCs w:val="30"/>
          <w:lang w:eastAsia="ru-RU"/>
        </w:rPr>
        <w:t>женщин</w:t>
      </w:r>
    </w:p>
    <w:p w:rsidR="00451738" w:rsidRDefault="00451738" w:rsidP="00451738">
      <w:pPr>
        <w:pStyle w:val="a3"/>
        <w:shd w:val="clear" w:color="auto" w:fill="FFFFFF"/>
        <w:spacing w:before="150" w:beforeAutospacing="0"/>
        <w:jc w:val="both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t>Государство гарантирует равенство прав и свобод человека и гражданина. Это равенство не зависит от пола. В нашей стране более половины общего количества работающих составляют женщины.</w:t>
      </w:r>
      <w:r>
        <w:rPr>
          <w:rFonts w:ascii="Georgia" w:hAnsi="Georgia"/>
          <w:color w:val="4A4A4A"/>
          <w:sz w:val="27"/>
          <w:szCs w:val="27"/>
        </w:rPr>
        <w:br/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t>Действующее трудовое законодательство России закрепляет равенство мужчины и женщины в трудовых отношениях: при приеме на работу, установлении размера оплаты труда, режима рабочего времени и времени отдыха и т. д. Вместе с тем, учитывая особенности женского организма, трудовое законодательство предусматривает ряд льгот для работающих женщин, повышенную охрану их труда. Трудовой кодекс РФ предусматривает специальные гарантии для женщин в связи с беременностью.</w:t>
      </w:r>
      <w:r>
        <w:rPr>
          <w:rFonts w:ascii="Georgia" w:hAnsi="Georgia"/>
          <w:color w:val="4A4A4A"/>
          <w:sz w:val="27"/>
          <w:szCs w:val="27"/>
        </w:rPr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br/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t>Так, применение труда женщин ограничивается на тяжелых работах и работах с вредными и опасными условиями труда, а также на подземных работах, за исключением нефизических работ или работ по санитарному и бытовому обслуживанию. Запрещается переноска и передвижение женщинами тяжестей, пре</w:t>
      </w:r>
      <w:r>
        <w:rPr>
          <w:rFonts w:ascii="Georgia" w:hAnsi="Georgia"/>
          <w:color w:val="4A4A4A"/>
          <w:sz w:val="27"/>
          <w:szCs w:val="27"/>
        </w:rPr>
        <w:t>вышающих установленные для них п</w:t>
      </w:r>
      <w:r>
        <w:rPr>
          <w:rFonts w:ascii="Georgia" w:hAnsi="Georgia"/>
          <w:color w:val="4A4A4A"/>
          <w:sz w:val="27"/>
          <w:szCs w:val="27"/>
        </w:rPr>
        <w:t>редельные нормы.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br/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t>Перечень тяжелых работ и работ с вредными или опасными условиями труда, при выполнении которых запрещается применение труда женщин утвержден постановлением Правительства РФ от 25 февраля 2000 г. № 162, с учетом мнения Российской трехсторонней комиссии по регулированию социально-трудовых отношений.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br/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6 февраля 1993 г. утверждены новые нормы предельно допустимых нагрузок для женщин при подъеме и перемещении тяжестей вручную.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br/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Style w:val="a4"/>
          <w:rFonts w:ascii="Georgia" w:hAnsi="Georgia"/>
          <w:b/>
          <w:bCs/>
          <w:color w:val="4A4A4A"/>
          <w:sz w:val="27"/>
          <w:szCs w:val="27"/>
        </w:rPr>
        <w:t>Особое внимание</w:t>
      </w:r>
      <w:r>
        <w:rPr>
          <w:rFonts w:ascii="Georgia" w:hAnsi="Georgia"/>
          <w:color w:val="4A4A4A"/>
          <w:sz w:val="27"/>
          <w:szCs w:val="27"/>
        </w:rPr>
        <w:t> Законодатель уделяет беременным женщинам и женщинам, имеющим ребенка до 3-х лет. Так, запрещается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 (ст. 253, 259,261 ТК РФ).</w:t>
      </w:r>
      <w:r>
        <w:rPr>
          <w:rFonts w:ascii="Georgia" w:hAnsi="Georgia"/>
          <w:color w:val="4A4A4A"/>
          <w:sz w:val="27"/>
          <w:szCs w:val="27"/>
        </w:rPr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br/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t>Установленные для женщин дополнительные льготы по охране труда подлежат предоставлению независимо от того, на основе какой формы собственности используется их труд – частной, государственной, муниципальной или собственности общественных объединений и организаций.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br/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>
        <w:rPr>
          <w:rFonts w:ascii="Georgia" w:hAnsi="Georgia"/>
          <w:color w:val="4A4A4A"/>
          <w:sz w:val="27"/>
          <w:szCs w:val="27"/>
        </w:rPr>
        <w:t>Расторжение трудового договора с беременными женщинами по инициативе работодателя не допускается. Также не допускается расторжение трудового договора по инициативе работодателя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матерей.</w:t>
      </w:r>
      <w:bookmarkStart w:id="0" w:name="_GoBack"/>
      <w:bookmarkEnd w:id="0"/>
    </w:p>
    <w:p w:rsidR="003C50C1" w:rsidRPr="00451738" w:rsidRDefault="00451738" w:rsidP="00451738">
      <w:pPr>
        <w:pStyle w:val="a3"/>
        <w:shd w:val="clear" w:color="auto" w:fill="FFFFFF"/>
        <w:spacing w:before="150" w:beforeAutospacing="0"/>
        <w:jc w:val="both"/>
        <w:rPr>
          <w:b/>
          <w:i/>
        </w:rPr>
      </w:pPr>
      <w:r>
        <w:rPr>
          <w:rFonts w:ascii="Georgia" w:hAnsi="Georgia"/>
          <w:color w:val="4A4A4A"/>
          <w:sz w:val="27"/>
          <w:szCs w:val="27"/>
        </w:rPr>
        <w:t xml:space="preserve"> </w:t>
      </w:r>
      <w:r>
        <w:rPr>
          <w:rFonts w:ascii="Georgia" w:hAnsi="Georgia"/>
          <w:color w:val="4A4A4A"/>
          <w:sz w:val="27"/>
          <w:szCs w:val="27"/>
        </w:rPr>
        <w:tab/>
      </w:r>
      <w:r w:rsidRPr="00451738">
        <w:rPr>
          <w:rFonts w:ascii="Georgia" w:hAnsi="Georgia"/>
          <w:b/>
          <w:i/>
          <w:color w:val="4A4A4A"/>
          <w:sz w:val="27"/>
          <w:szCs w:val="27"/>
        </w:rPr>
        <w:t xml:space="preserve">На основании вышеизложенного рекомендуем Вам при формировании коллективного договора или соглашения включать раздел «Обеспечение условий и охраны труда женщин» в целях недопущения нарушений со стороны работодателя. </w:t>
      </w:r>
    </w:p>
    <w:sectPr w:rsidR="003C50C1" w:rsidRPr="00451738" w:rsidSect="0045173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2"/>
    <w:rsid w:val="003C45A2"/>
    <w:rsid w:val="003C50C1"/>
    <w:rsid w:val="004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0FD2"/>
  <w15:chartTrackingRefBased/>
  <w15:docId w15:val="{13BDAD43-AAC3-4D78-BB77-8ACE5529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2</cp:revision>
  <dcterms:created xsi:type="dcterms:W3CDTF">2020-12-26T00:26:00Z</dcterms:created>
  <dcterms:modified xsi:type="dcterms:W3CDTF">2020-12-26T00:34:00Z</dcterms:modified>
</cp:coreProperties>
</file>