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7A" w:rsidRPr="001E1288" w:rsidRDefault="00406E7A" w:rsidP="00406E7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eq1194896"/>
      <w:bookmarkEnd w:id="0"/>
      <w:r w:rsidRPr="001E12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="00820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9</w:t>
      </w:r>
    </w:p>
    <w:p w:rsidR="008206C7" w:rsidRDefault="008206C7" w:rsidP="00796683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683" w:rsidRPr="00406E7A" w:rsidRDefault="00796683" w:rsidP="00796683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передачи документов бухгалтерского учета и дел при смене руководителя, главного бухгалтера</w:t>
      </w:r>
    </w:p>
    <w:p w:rsidR="00796683" w:rsidRDefault="00796683" w:rsidP="00796683">
      <w:pPr>
        <w:shd w:val="clear" w:color="auto" w:fill="FFFFFF"/>
        <w:spacing w:after="0" w:line="396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eq1406095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bookmarkEnd w:id="1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передачи документов и дел</w:t>
      </w:r>
    </w:p>
    <w:p w:rsidR="00F94D0F" w:rsidRPr="00406E7A" w:rsidRDefault="00F94D0F" w:rsidP="00796683">
      <w:pPr>
        <w:shd w:val="clear" w:color="auto" w:fill="FFFFFF"/>
        <w:spacing w:after="0" w:line="396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eq1211593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bookmarkEnd w:id="3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proofErr w:type="gramStart"/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передачи документов и дел является прекращение полномочий руководителя</w:t>
      </w:r>
      <w:r w:rsid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председателя Комитета по финансам)), об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освобождении от должности главного бухгалтера</w:t>
      </w:r>
      <w:r w:rsidR="006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руководителя МКУ «ЦБО и МТО»)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eq1211594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bookmarkEnd w:id="4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основания, названного в п. 1.1, издается </w:t>
      </w:r>
      <w:r w:rsidR="006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406E7A">
        <w:rPr>
          <w:rFonts w:ascii="Times New Roman" w:eastAsia="Times New Roman" w:hAnsi="Times New Roman" w:cs="Times New Roman"/>
          <w:i/>
          <w:iCs/>
          <w:color w:val="808080"/>
          <w:sz w:val="28"/>
          <w:szCs w:val="28"/>
          <w:lang w:eastAsia="ru-RU"/>
        </w:rPr>
        <w:t> 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передаче документов и дел. В нем указываются: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лицо, передающее документы и дела;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лицо, которому передаются документы и дела;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 передачи документов и дел и время начала и предельный срок такой передачи;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состав комиссии, создаваемой для передачи документов и дел (далее - комиссия);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eq1228264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5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участия в работе комиссии ее члены освобождаются от исполнения своих непосредственных должностных обязанностей, если иное не указано </w:t>
      </w:r>
      <w:r w:rsidR="00406E7A"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6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приказе</w:t>
      </w:r>
      <w:r w:rsidRPr="00406E7A">
        <w:rPr>
          <w:rFonts w:ascii="Times New Roman" w:eastAsia="Times New Roman" w:hAnsi="Times New Roman" w:cs="Times New Roman"/>
          <w:i/>
          <w:iCs/>
          <w:color w:val="808080"/>
          <w:sz w:val="28"/>
          <w:szCs w:val="28"/>
          <w:lang w:eastAsia="ru-RU"/>
        </w:rPr>
        <w:t xml:space="preserve"> 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документов и дел.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eq1406096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bookmarkEnd w:id="6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передачи документов и дел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eq1245096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bookmarkEnd w:id="7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документов и дел начинается с проведения инвентаризации.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eq1253449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bookmarkEnd w:id="8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подлежит все имущество, которое закреплено за лицом, передающим дела и документы.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eq1261802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bookmarkEnd w:id="9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инвентаризации и оформление ее результатов осуществляется в соответствии с Порядком проведения инвентаризации, приведенным в Приложении № </w:t>
      </w:r>
      <w:r w:rsidR="006C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hyperlink r:id="rId7" w:anchor="seq590961" w:history="1"/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Учетной политике</w:t>
      </w:r>
      <w:r w:rsid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БУ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eq1270191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bookmarkEnd w:id="10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при передаче дел и документов осуществляются следующие действия: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учетной политики;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бухгалтерскую и налоговую отчетность;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материалы о недостачах и хищениях, переданные и не переданные в правоохранительные органы;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регистры бухгалтерского учета: книги, оборотные ведомости, карточки, журналы операций и пр.;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регистры налогового учета;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eq1312449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</w:t>
      </w:r>
      <w:bookmarkEnd w:id="11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передачи дел и документов составляется акт по форме, приведенной в приложении к настоящему Порядку.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eq1304010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</w:t>
      </w:r>
      <w:bookmarkEnd w:id="12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eq1312450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</w:t>
      </w:r>
      <w:bookmarkEnd w:id="13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eq1320889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</w:t>
      </w:r>
      <w:bookmarkEnd w:id="14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796683" w:rsidRPr="00406E7A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eq1329328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</w:t>
      </w:r>
      <w:bookmarkEnd w:id="15"/>
      <w:r w:rsidRPr="00406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 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из лиц, подписывающих акт, имеет право внести в него все дополнения (примечания), которые сочтет нужным, а также привести рекомендации и 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</w:t>
      </w:r>
      <w:r w:rsid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 (примечания, рекомендации, предложения) прилагаются</w:t>
      </w:r>
      <w:r w:rsid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683" w:rsidRDefault="00796683" w:rsidP="00796683">
      <w:pPr>
        <w:shd w:val="clear" w:color="auto" w:fill="FFFFFF"/>
        <w:spacing w:after="0" w:line="39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6E7A" w:rsidRDefault="00796683" w:rsidP="00796683">
      <w:pPr>
        <w:shd w:val="clear" w:color="auto" w:fill="FFFFFF"/>
        <w:spacing w:after="0" w:line="39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1 </w:t>
      </w:r>
    </w:p>
    <w:p w:rsidR="00796683" w:rsidRDefault="00796683" w:rsidP="00796683">
      <w:pPr>
        <w:shd w:val="clear" w:color="auto" w:fill="FFFFFF"/>
        <w:spacing w:after="0" w:line="39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к Порядку передачи документов бухгалтерского учета и дел</w:t>
      </w:r>
    </w:p>
    <w:p w:rsidR="008206C7" w:rsidRPr="00796683" w:rsidRDefault="008206C7" w:rsidP="008206C7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МКУ «ЦБО и МТО»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</w:p>
    <w:p w:rsidR="00796683" w:rsidRDefault="00796683" w:rsidP="00796683">
      <w:pPr>
        <w:shd w:val="clear" w:color="auto" w:fill="FFFFFF"/>
        <w:spacing w:after="0" w:line="396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приема-передачи документов и дел</w:t>
      </w:r>
    </w:p>
    <w:tbl>
      <w:tblPr>
        <w:tblW w:w="11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9623"/>
      </w:tblGrid>
      <w:tr w:rsidR="00366763" w:rsidRPr="00796683" w:rsidTr="00796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8206C7" w:rsidRDefault="008206C7" w:rsidP="008206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Карымское</w:t>
            </w:r>
            <w:proofErr w:type="spellEnd"/>
            <w:r w:rsidR="00796683" w:rsidRPr="00796683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  <w:t xml:space="preserve">      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36676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</w:t>
            </w:r>
            <w:r w:rsidR="00796683" w:rsidRPr="007966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796683" w:rsidRPr="00796683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  <w:t>       </w:t>
            </w:r>
            <w:r w:rsidR="00796683" w:rsidRPr="00796683">
              <w:rPr>
                <w:rFonts w:ascii="Times New Roman" w:eastAsia="Times New Roman" w:hAnsi="Times New Roman" w:cs="Times New Roman"/>
                <w:lang w:eastAsia="ru-RU"/>
              </w:rPr>
              <w:t>" </w:t>
            </w:r>
            <w:r w:rsidR="00796683" w:rsidRPr="00796683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  <w:t>                     </w:t>
            </w:r>
            <w:r w:rsidR="00796683" w:rsidRPr="00796683">
              <w:rPr>
                <w:rFonts w:ascii="Times New Roman" w:eastAsia="Times New Roman" w:hAnsi="Times New Roman" w:cs="Times New Roman"/>
                <w:lang w:eastAsia="ru-RU"/>
              </w:rPr>
              <w:t> 20</w:t>
            </w:r>
            <w:r w:rsidR="00796683" w:rsidRPr="00796683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ru-RU"/>
              </w:rPr>
              <w:t>       </w:t>
            </w:r>
            <w:r w:rsidR="00796683" w:rsidRPr="007966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Мы, нижеподписавшиеся: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(должность, Ф.И.О.)  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- сдающий документы и дела,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(должность, Ф.И.О.)  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- принимающий документы и дела,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члены комиссии, созданной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(вид документа – приказ,)</w:t>
      </w:r>
      <w:r w:rsidR="0036676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 xml:space="preserve"> 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(должность руководителя)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№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   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(должность, Ф.И.О.)  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- председатель комиссии,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(должность, Ф.И.О.)  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- член комиссии,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(должность, Ф.И.О.)  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- член комиссии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составили настоящий акт о том, что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(должность, фамилия, инициалы сдающего в творительном падеже)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(должность, фамилия, инициалы принимающего в дательном падеже)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переданы: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1. Следующие документы и сведения:</w:t>
      </w:r>
    </w:p>
    <w:tbl>
      <w:tblPr>
        <w:tblW w:w="10632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535"/>
        <w:gridCol w:w="2388"/>
      </w:tblGrid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0844" w:rsidRPr="00796683" w:rsidTr="00E40844">
        <w:trPr>
          <w:trHeight w:val="509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0844" w:rsidRPr="00796683" w:rsidRDefault="00E40844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0844" w:rsidRPr="00796683" w:rsidRDefault="00E40844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0844" w:rsidRPr="00796683" w:rsidRDefault="00E40844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539" w:tblpY="614"/>
        <w:tblW w:w="10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655"/>
        <w:gridCol w:w="2409"/>
      </w:tblGrid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переданной информации </w:t>
            </w: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электронном виде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40844" w:rsidRDefault="00E40844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844">
        <w:rPr>
          <w:rFonts w:ascii="Times New Roman" w:eastAsia="Times New Roman" w:hAnsi="Times New Roman" w:cs="Times New Roman"/>
          <w:color w:val="000000"/>
          <w:lang w:eastAsia="ru-RU"/>
        </w:rPr>
        <w:t>2. Следующая информация в электронном виде:</w:t>
      </w:r>
    </w:p>
    <w:p w:rsidR="00E40844" w:rsidRDefault="00E40844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683" w:rsidRPr="00796683" w:rsidRDefault="00796683" w:rsidP="0079668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3. Следующие электронные носители, необходимые для работы:</w:t>
      </w:r>
    </w:p>
    <w:tbl>
      <w:tblPr>
        <w:tblpPr w:leftFromText="180" w:rightFromText="180" w:vertAnchor="text" w:horzAnchor="margin" w:tblpXSpec="center" w:tblpY="292"/>
        <w:tblW w:w="10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655"/>
        <w:gridCol w:w="2418"/>
      </w:tblGrid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электронных носителей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683" w:rsidRPr="00366763" w:rsidRDefault="0036676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7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36676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36676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40844" w:rsidRDefault="00E40844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4. Ключи от сейфов: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(точное описани</w:t>
      </w:r>
      <w:r w:rsidR="0036676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е сейфов и мест их расположения)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0844" w:rsidRDefault="00E40844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5. Следующие печати и штампы:</w:t>
      </w:r>
    </w:p>
    <w:tbl>
      <w:tblPr>
        <w:tblW w:w="10774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2410"/>
      </w:tblGrid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печатей и штампов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40844" w:rsidRDefault="00E40844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6. Следующие чековые книжки:</w:t>
      </w:r>
    </w:p>
    <w:tbl>
      <w:tblPr>
        <w:tblW w:w="10774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5245"/>
      </w:tblGrid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учреждения, выдавшего чековую книжку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неиспользованных чеков в чековой книжке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683" w:rsidRPr="00796683" w:rsidTr="003667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36676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6683" w:rsidRPr="00796683" w:rsidRDefault="00796683" w:rsidP="007966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6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40844" w:rsidRDefault="00E40844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966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966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Передающим лицом даны следующие пояснения: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966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Дополнения (примечания, рекомендации, предложения):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u w:val="single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966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Приложения к акту: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7966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2. 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3. 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Подписи лиц, составивших акт: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Передал: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(должность)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(подпись)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(фамилия, инициалы)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Принял: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(должность)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(подпись)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(фамилия, инициалы)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(должность)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(подпись)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(фамилия, инициалы)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Члены комиссии: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(должность)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(подпись)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(фамилия, инициалы)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(должность)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(подпись)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(фамилия, инициалы)    </w:t>
      </w:r>
    </w:p>
    <w:p w:rsidR="00796683" w:rsidRDefault="00796683" w:rsidP="00796683">
      <w:pPr>
        <w:shd w:val="clear" w:color="auto" w:fill="FFFFFF"/>
        <w:spacing w:after="0" w:line="396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Оборот последнего листа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В настоящем акте пронумеровано, прошнуровано и заверено печатью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листов.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(должность председателя комиссии)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(подпись)          </w:t>
      </w:r>
      <w:r w:rsidRPr="007966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(фамилия, инициалы)    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" 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       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 20</w:t>
      </w:r>
      <w:r w:rsidRPr="00796683">
        <w:rPr>
          <w:rFonts w:ascii="Times New Roman" w:eastAsia="Times New Roman" w:hAnsi="Times New Roman" w:cs="Times New Roman"/>
          <w:i/>
          <w:iCs/>
          <w:color w:val="808080"/>
          <w:lang w:eastAsia="ru-RU"/>
        </w:rPr>
        <w:t>       </w:t>
      </w: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796683" w:rsidRPr="00796683" w:rsidRDefault="00796683" w:rsidP="00796683">
      <w:pPr>
        <w:shd w:val="clear" w:color="auto" w:fill="FFFFFF"/>
        <w:spacing w:after="0" w:line="396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683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796683" w:rsidRDefault="00796683" w:rsidP="00796683">
      <w:pPr>
        <w:rPr>
          <w:rFonts w:ascii="Times New Roman" w:hAnsi="Times New Roman" w:cs="Times New Roman"/>
        </w:rPr>
      </w:pPr>
    </w:p>
    <w:p w:rsidR="00796683" w:rsidRDefault="00796683" w:rsidP="00796683">
      <w:pPr>
        <w:rPr>
          <w:rFonts w:ascii="Times New Roman" w:hAnsi="Times New Roman" w:cs="Times New Roman"/>
        </w:rPr>
      </w:pPr>
    </w:p>
    <w:sectPr w:rsidR="00796683" w:rsidSect="00406E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D7" w:rsidRDefault="000406D7" w:rsidP="00E40844">
      <w:pPr>
        <w:spacing w:after="0" w:line="240" w:lineRule="auto"/>
      </w:pPr>
      <w:r>
        <w:separator/>
      </w:r>
    </w:p>
  </w:endnote>
  <w:endnote w:type="continuationSeparator" w:id="0">
    <w:p w:rsidR="000406D7" w:rsidRDefault="000406D7" w:rsidP="00E4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2682"/>
      <w:docPartObj>
        <w:docPartGallery w:val="Page Numbers (Bottom of Page)"/>
        <w:docPartUnique/>
      </w:docPartObj>
    </w:sdtPr>
    <w:sdtEndPr/>
    <w:sdtContent>
      <w:p w:rsidR="00E40844" w:rsidRDefault="00E408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0F">
          <w:rPr>
            <w:noProof/>
          </w:rPr>
          <w:t>3</w:t>
        </w:r>
        <w:r>
          <w:fldChar w:fldCharType="end"/>
        </w:r>
      </w:p>
    </w:sdtContent>
  </w:sdt>
  <w:p w:rsidR="00E40844" w:rsidRDefault="00E408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D7" w:rsidRDefault="000406D7" w:rsidP="00E40844">
      <w:pPr>
        <w:spacing w:after="0" w:line="240" w:lineRule="auto"/>
      </w:pPr>
      <w:r>
        <w:separator/>
      </w:r>
    </w:p>
  </w:footnote>
  <w:footnote w:type="continuationSeparator" w:id="0">
    <w:p w:rsidR="000406D7" w:rsidRDefault="000406D7" w:rsidP="00E40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60"/>
    <w:rsid w:val="000406D7"/>
    <w:rsid w:val="000D7760"/>
    <w:rsid w:val="002A3A8E"/>
    <w:rsid w:val="00366763"/>
    <w:rsid w:val="00406E7A"/>
    <w:rsid w:val="00566893"/>
    <w:rsid w:val="006C4E58"/>
    <w:rsid w:val="00796683"/>
    <w:rsid w:val="008206C7"/>
    <w:rsid w:val="00906250"/>
    <w:rsid w:val="00A17EED"/>
    <w:rsid w:val="00AA7593"/>
    <w:rsid w:val="00E20EE2"/>
    <w:rsid w:val="00E40844"/>
    <w:rsid w:val="00F94D0F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6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844"/>
  </w:style>
  <w:style w:type="paragraph" w:styleId="a6">
    <w:name w:val="footer"/>
    <w:basedOn w:val="a"/>
    <w:link w:val="a7"/>
    <w:uiPriority w:val="99"/>
    <w:unhideWhenUsed/>
    <w:rsid w:val="00E4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6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844"/>
  </w:style>
  <w:style w:type="paragraph" w:styleId="a6">
    <w:name w:val="footer"/>
    <w:basedOn w:val="a"/>
    <w:link w:val="a7"/>
    <w:uiPriority w:val="99"/>
    <w:unhideWhenUsed/>
    <w:rsid w:val="00E4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7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9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6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4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3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6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1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6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3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9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1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3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8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2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59480">
                                                              <w:marLeft w:val="57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19"/>
                                                                <w:left w:val="single" w:sz="24" w:space="0" w:color="E5E619"/>
                                                                <w:bottom w:val="single" w:sz="6" w:space="0" w:color="E5E619"/>
                                                                <w:right w:val="single" w:sz="6" w:space="0" w:color="E5E619"/>
                                                              </w:divBdr>
                                                              <w:divsChild>
                                                                <w:div w:id="88822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7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1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8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4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7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9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4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93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8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5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13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8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7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9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34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3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33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90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01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1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3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16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6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8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03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7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72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6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73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37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7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1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64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87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5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2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62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65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4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5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64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54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48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90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9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6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40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34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65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2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36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26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98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7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36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64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36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2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6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3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2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6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0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9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2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20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3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4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6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81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25511">
                                                              <w:marLeft w:val="57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19"/>
                                                                <w:left w:val="single" w:sz="24" w:space="0" w:color="E5E619"/>
                                                                <w:bottom w:val="single" w:sz="6" w:space="0" w:color="E5E619"/>
                                                                <w:right w:val="single" w:sz="6" w:space="0" w:color="E5E619"/>
                                                              </w:divBdr>
                                                              <w:divsChild>
                                                                <w:div w:id="45333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7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1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7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3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6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2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3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9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4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79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7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9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9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4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1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6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5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4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4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3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84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23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1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3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82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1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8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64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59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3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76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4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4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7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88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9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82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60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95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8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4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0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6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5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3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22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83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0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8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19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93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01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67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2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4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1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8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4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4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9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9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6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9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44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7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81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4666">
                                                              <w:marLeft w:val="57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19"/>
                                                                <w:left w:val="single" w:sz="24" w:space="0" w:color="E5E619"/>
                                                                <w:bottom w:val="single" w:sz="6" w:space="0" w:color="E5E619"/>
                                                                <w:right w:val="single" w:sz="6" w:space="0" w:color="E5E619"/>
                                                              </w:divBdr>
                                                              <w:divsChild>
                                                                <w:div w:id="162334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43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4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8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8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7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8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9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7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9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1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0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4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5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57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9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8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87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69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23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2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42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5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9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3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94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45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8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61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57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83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3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4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9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29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6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78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1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7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94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39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73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0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5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5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5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03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1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48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23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66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00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8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4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49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88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9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98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93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3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8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6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8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pcd.consultant.ru/cpcd5/Production_JS_2.20.50.83e26e1c_1/ap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VasilenkoOIu</dc:creator>
  <cp:lastModifiedBy>Пользователь</cp:lastModifiedBy>
  <cp:revision>7</cp:revision>
  <cp:lastPrinted>2021-06-16T05:23:00Z</cp:lastPrinted>
  <dcterms:created xsi:type="dcterms:W3CDTF">2021-06-03T02:11:00Z</dcterms:created>
  <dcterms:modified xsi:type="dcterms:W3CDTF">2021-06-16T05:23:00Z</dcterms:modified>
</cp:coreProperties>
</file>