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tbl>
      <w:tblPr>
        <w:tblLayout w:type="autofit"/>
        <w:tblInd w:w="3681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984"/>
      </w:tblGrid>
      <w:tr>
        <w:tc>
          <w:tcPr>
            <w:tcW w:type="dxa" w:w="1984"/>
            <w:hideMark w:val="true"/>
            <w:shd w:val="nil"/>
            <w:vAlign w:val="top"/>
            <w:textDirection w:val="lrTb"/>
            <w:gridSpan w:val="1"/>
          </w:tcPr>
          <w:p>
            <w:pPr>
              <w:suppressAutoHyphens/>
              <w:jc w:val="right"/>
              <w:textAlignment w:val="auto"/>
              <w:ind w:left="0" w:right="0" w:start="0" w:end="0"/>
              <w:adjustRightInd w:val="true"/>
              <w:spacing w:after="0" w:line="100" w:lineRule="atLeast"/>
              <w:bidi w:val="false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kern w:val="2"/>
                <w:color w:val="000000"/>
              </w:rPr>
            </w:pPr>
          </w:p>
        </w:tc>
      </w:tr>
    </w:tbl>
    <w:p>
      <w:pPr>
        <w:keepNext w:val="true"/>
        <w:outlineLvl w:val="1"/>
        <w:jc w:val="right"/>
        <w:textAlignment w:val="auto"/>
        <w:ind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ПРОЕКТ</w:t>
      </w:r>
    </w:p>
    <w:p>
      <w:pPr>
        <w:keepNext w:val="true"/>
        <w:outlineLvl w:val="1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Ад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-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ми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-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ни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-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ст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-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ра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-</w:t>
      </w:r>
      <w:r>
        <w:rPr>
          <w:b w:val="true"/>
          <w:rFonts w:ascii="Times New Roman" w:eastAsia="Times New Roman" w:hAnsi="Times New Roman" w:cs="Times New Roman"/>
          <w:sz w:val="36"/>
        </w:rPr>
        <w:t xml:space="preserve">ция муниципального района</w:t>
      </w:r>
    </w:p>
    <w:p>
      <w:pPr>
        <w:keepNext w:val="true"/>
        <w:outlineLvl w:val="1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«Карымский район»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34"/>
          <w:kern w:val="2"/>
          <w:color w:val="000000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52"/>
          <w:kern w:val="2"/>
          <w:color w:val="000000"/>
        </w:rPr>
      </w:pPr>
      <w:r>
        <w:rPr>
          <w:b w:val="true"/>
          <w:rFonts w:ascii="Times New Roman" w:eastAsia="Times New Roman" w:hAnsi="Times New Roman" w:cs="Times New Roman"/>
          <w:sz w:val="52"/>
          <w:kern w:val="2"/>
          <w:color w:val="000000"/>
        </w:rPr>
        <w:t xml:space="preserve">П О С Т А Н О В Л Е Н И Е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b w:val="true"/>
          <w:rFonts w:ascii="Times New Roman" w:eastAsia="Times New Roman" w:hAnsi="Times New Roman" w:cs="Times New Roman"/>
          <w:sz w:val="52"/>
          <w:kern w:val="2"/>
          <w:color w:val="000000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4"/>
          <w:kern w:val="2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kern w:val="2"/>
          <w:color w:val="000000"/>
        </w:rPr>
        <w:t xml:space="preserve">от  «___»</w:t>
      </w:r>
      <w:r>
        <w:rPr>
          <w:rFonts w:ascii="Times New Roman" w:eastAsia="Times New Roman" w:hAnsi="Times New Roman" w:cs="Times New Roman"/>
          <w:sz w:val="28"/>
          <w:kern w:val="2"/>
          <w:color w:val="000000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kern w:val="2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kern w:val="2"/>
          <w:color w:val="000000"/>
          <w:u w:val="single"/>
        </w:rPr>
        <w:t xml:space="preserve">2021 г</w:t>
      </w:r>
      <w:r>
        <w:rPr>
          <w:rFonts w:ascii="Times New Roman" w:eastAsia="Times New Roman" w:hAnsi="Times New Roman" w:cs="Times New Roman"/>
          <w:sz w:val="28"/>
          <w:kern w:val="2"/>
          <w:color w:val="000000"/>
        </w:rPr>
        <w:t xml:space="preserve">.</w:t>
      </w:r>
      <w:r>
        <w:rPr>
          <w:rFonts w:ascii="Times New Roman" w:eastAsia="Times New Roman" w:hAnsi="Times New Roman" w:cs="Times New Roman"/>
          <w:sz w:val="28"/>
          <w:kern w:val="2"/>
          <w:color w:val="000000"/>
        </w:rPr>
        <w:tab/>
      </w:r>
      <w:r>
        <w:rPr>
          <w:rFonts w:ascii="Times New Roman" w:eastAsia="Times New Roman" w:hAnsi="Times New Roman" w:cs="Times New Roman"/>
          <w:sz w:val="28"/>
          <w:kern w:val="2"/>
          <w:color w:val="000000"/>
        </w:rPr>
        <w:t xml:space="preserve">                                                               № ____</w:t>
      </w:r>
    </w:p>
    <w:p>
      <w:pPr>
        <w:suppressAutoHyphens/>
        <w:jc w:val="both"/>
        <w:textAlignment w:val="auto"/>
        <w:ind w:left="0" w:right="-2" w:start="0" w:end="-2"/>
        <w:spacing w:after="0" w:line="100" w:lineRule="atLeast"/>
        <w:bidi w:val="false"/>
        <w:tabs>
          <w:tab w:val="left" w:pos="0"/>
        </w:tabs>
        <w:rPr>
          <w:rFonts w:ascii="Times New Roman" w:eastAsia="Times New Roman" w:hAnsi="Times New Roman" w:cs="Times New Roman"/>
          <w:sz w:val="27"/>
          <w:kern w:val="2"/>
          <w:color w:val="000000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100" w:lineRule="atLeast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сельских поселений муниципального района 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100" w:lineRule="atLeast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«Карымский район» на 2022 год»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100" w:lineRule="atLeast"/>
        <w:bidi w:val="false"/>
        <w:tabs>
          <w:tab w:val="left" w:pos="993"/>
        </w:tabs>
        <w:rPr>
          <w:b w:val="true"/>
          <w:rFonts w:ascii="Times New Roman" w:eastAsia="Times New Roman" w:hAnsi="Times New Roman" w:cs="Times New Roman"/>
          <w:sz w:val="26"/>
          <w:kern w:val="2"/>
          <w:color w:val="000000"/>
        </w:rPr>
      </w:pPr>
    </w:p>
    <w:p>
      <w:pPr>
        <w:suppressAutoHyphens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«Карымский район» от 23 ноября 2021 года № 418 «Об утверждении Положения о муниципальном земельном контроле на территории сельских поселений муниципального района «Карымский район», руководствуясь Уставом муниципального района «Карымский район», администрация муниципального района «Карымский район», </w:t>
      </w:r>
      <w:r>
        <w:rPr>
          <w:b w:val="true"/>
          <w:rFonts w:ascii="Times New Roman" w:eastAsia="Times New Roman" w:hAnsi="Times New Roman" w:cs="Times New Roman"/>
          <w:sz w:val="26"/>
          <w:kern w:val="2"/>
          <w:color w:val="000000"/>
        </w:rPr>
        <w:t xml:space="preserve">постановляет:</w:t>
      </w:r>
    </w:p>
    <w:p>
      <w:pPr>
        <w:suppressAutoHyphens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сельских поселений муниципального района «Карымский район» на 2022 год» согласно приложению.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100" w:lineRule="atLeast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2.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Контроль за исполнением настоящего постановления возложить               на первого заместителя главы муниципального района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муниципального района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100" w:lineRule="atLeast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«Карымский район»                                                                        А.С. Сидельников  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2"/>
          <w:color w:val="000000"/>
        </w:rPr>
        <w:tab/>
      </w:r>
    </w:p>
    <w:p>
      <w:pPr>
        <w:suppressAutoHyphens/>
        <w:jc w:val="both"/>
        <w:textAlignment w:val="auto"/>
        <w:ind w:hanging="1416" w:left="1416" w:right="0" w:start="141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</w:p>
    <w:p>
      <w:pPr>
        <w:outlineLvl w:val="0"/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</w:p>
    <w:p>
      <w:pPr>
        <w:outlineLvl w:val="0"/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</w:p>
    <w:p>
      <w:pPr>
        <w:outlineLvl w:val="0"/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</w:p>
    <w:p>
      <w:pPr>
        <w:outlineLvl w:val="0"/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</w:p>
    <w:p>
      <w:pPr>
        <w:outlineLvl w:val="0"/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  <w:r>
        <w:rPr>
          <w:rFonts w:ascii="Times New Roman" w:eastAsia="Times New Roman" w:hAnsi="Times New Roman" w:cs="Times New Roman"/>
          <w:sz w:val="20"/>
          <w:kern w:val="0"/>
        </w:rPr>
        <w:t xml:space="preserve">Приложение </w:t>
      </w:r>
    </w:p>
    <w:p>
      <w:pPr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  <w:r>
        <w:rPr>
          <w:rFonts w:ascii="Times New Roman" w:eastAsia="Times New Roman" w:hAnsi="Times New Roman" w:cs="Times New Roman"/>
          <w:sz w:val="20"/>
          <w:kern w:val="0"/>
        </w:rPr>
        <w:t xml:space="preserve">к постановлению администрации</w:t>
      </w:r>
    </w:p>
    <w:p>
      <w:pPr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  <w:r>
        <w:rPr>
          <w:rFonts w:ascii="Times New Roman" w:eastAsia="Times New Roman" w:hAnsi="Times New Roman" w:cs="Times New Roman"/>
          <w:sz w:val="20"/>
          <w:kern w:val="0"/>
        </w:rPr>
        <w:t xml:space="preserve">муниципального района «Карымский район» </w:t>
      </w:r>
    </w:p>
    <w:p>
      <w:pPr>
        <w:jc w:val="left"/>
        <w:textAlignment w:val="auto"/>
        <w:ind w:left="6237" w:right="0" w:start="6237" w:end="0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</w:rPr>
      </w:pPr>
      <w:r>
        <w:rPr>
          <w:rFonts w:ascii="Times New Roman" w:eastAsia="Times New Roman" w:hAnsi="Times New Roman" w:cs="Times New Roman"/>
          <w:sz w:val="20"/>
          <w:kern w:val="0"/>
        </w:rPr>
        <w:t xml:space="preserve">от «___» __________2021г. №____ 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  <w:kern w:val="0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2268"/>
        </w:tabs>
        <w:rPr>
          <w:b w:val="true"/>
          <w:rFonts w:ascii="Times New Roman" w:eastAsia="Times New Roman" w:hAnsi="Times New Roman" w:cs="Times New Roman"/>
          <w:sz w:val="28"/>
          <w:kern w:val="0"/>
          <w:color w:val="111111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ПРОГРАММА (ПЛАН)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на территории сельских поселений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муниципального района «Карымский район» на 2022 год</w:t>
      </w:r>
    </w:p>
    <w:p>
      <w:pPr>
        <w:suppressAutoHyphens/>
        <w:jc w:val="center"/>
        <w:textAlignment w:val="baseline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</w:p>
    <w:p>
      <w:pPr>
        <w:suppressAutoHyphens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suppressAutoHyphens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</w:p>
    <w:p>
      <w:pPr>
        <w:suppressAutoHyphens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Администрация муниципального района «Карымский район» (далее – контрольный (надзорный) орган) в соответствии с Положением о муниципальном земельном контроле на территории сельских поселений муниципального района «Карымский район» (далее – Положение), утвержденным решением Совета муниципального района «Карымский район» от 23 ноября 2021 года № 418, осуществляет муниципальный земельный контроль за: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исполнение решений, принимаемых по результатам контрольных мероприятий.</w:t>
      </w:r>
    </w:p>
    <w:p>
      <w:pPr>
        <w:suppressAutoHyphens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Объектами муниципального земельного контроля (далее – объекты контроля) являются: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100" w:lineRule="atLeast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1)</w:t>
      </w: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деятельность, действия (бездействие) контролируемых лиц в сфере землепользования,</w:t>
      </w:r>
      <w:r>
        <w:rPr>
          <w:rFonts w:ascii="Times New Roman" w:eastAsia="Times New Roman" w:hAnsi="Times New Roman" w:cs="Times New Roman"/>
          <w:sz w:val="26"/>
          <w:i w:val="true"/>
          <w:kern w:val="2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100" w:lineRule="atLeast"/>
        <w:bidi w:val="false"/>
        <w:rPr>
          <w:rFonts w:ascii="Times New Roman" w:eastAsia="Times New Roman" w:hAnsi="Times New Roman" w:cs="Times New Roman"/>
          <w:sz w:val="26"/>
          <w:kern w:val="2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2)</w:t>
      </w: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kern w:val="2"/>
          <w:color w:val="000000"/>
        </w:rPr>
        <w:t xml:space="preserve">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contextualSpacing w:val="true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объекты земельных отношений, расположенные в границах</w:t>
      </w:r>
      <w:r>
        <w:rPr>
          <w:rFonts w:ascii="Times New Roman" w:eastAsia="Times New Roman" w:hAnsi="Times New Roman" w:cs="Times New Roman"/>
          <w:sz w:val="26"/>
          <w:i w:val="true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сельских поселений муниципального района «Карымский район».</w:t>
      </w:r>
    </w:p>
    <w:p>
      <w:pPr>
        <w:suppressAutoHyphens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сельских поселений муниципального района «Карымский район»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В 2020 году в рамках осуществления муниципального земельного контроля обследовано 567206 кв.м. земель. В первом полугодии 2021 года 1000 кв.м.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землю. 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2. Сознательное бездействие правообладателей земельных участков.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</w:p>
    <w:p>
      <w:pPr>
        <w:suppressAutoHyphens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Раздел II. Цели и задачи реализации программы профилактики рисков причинения вреда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Цели разработки Программы и проведение профилактической работы: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24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24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повышение прозрачности системы муниципального контроля;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мотивация подконтрольных субъектов к добросовестному поведению.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Проведение профилактических мероприятий Программы позволяет решить следующие задачи: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определение перечня видов и сбор статистических данных, необходимых для организации профилактической работы;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повышение квалификации кадрового состава контрольно-надзорного органа;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снижение уровня административной нагрузки на организации и граждан, осуществляющих предпринимательскую деятельность;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>
      <w:pPr>
        <w:suppressAutoHyphens/>
        <w:jc w:val="both"/>
        <w:textAlignment w:val="auto"/>
        <w:ind w:left="59" w:right="0" w:start="5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- другие задачи в зависимости от выявленных проблем в регулируемой сфере и текущего состояния профилактической работы.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Сроки реализации Программы приведены в перечне основных профилактических мероприятий на 2022 год.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ab/>
      </w:r>
      <w:r>
        <w:rPr>
          <w:rFonts w:ascii="Times New Roman" w:eastAsia="Times New Roman" w:hAnsi="Times New Roman" w:cs="Times New Roman"/>
          <w:sz w:val="26"/>
          <w:kern w:val="0"/>
          <w:color w:val="000000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24"/>
          <w:color w:val="000000"/>
        </w:rPr>
      </w:pPr>
    </w:p>
    <w:p>
      <w:pPr>
        <w:suppressAutoHyphens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Раздел III. Перечень профилактических мероприятий, сроки (периодичность) их проведения</w:t>
      </w:r>
    </w:p>
    <w:p>
      <w:pPr>
        <w:suppressAutoHyphens/>
        <w:jc w:val="both"/>
        <w:textAlignment w:val="baseline"/>
        <w:ind w:left="0" w:right="0" w:start="0" w:end="0"/>
        <w:adjustRightInd w:val="true"/>
        <w:spacing w:after="0" w:line="240"/>
        <w:contextualSpacing w:val="true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Перечень основных профилактических мероприятий Программы на 2022 год приведен в таблице №1.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  <w:color w:val="000000"/>
        </w:rPr>
      </w:pPr>
    </w:p>
    <w:p>
      <w:pPr>
        <w:suppressAutoHyphens/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0"/>
          <w:kern w:val="0"/>
          <w:color w:val="000000"/>
        </w:rPr>
      </w:pPr>
      <w:r>
        <w:rPr>
          <w:rFonts w:ascii="Calibri" w:eastAsia="Calibri" w:hAnsi="Calibri" w:cs="Calibri"/>
          <w:sz w:val="28"/>
          <w:kern w:val="0"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kern w:val="0"/>
          <w:color w:val="000000"/>
        </w:rPr>
        <w:t xml:space="preserve">Таблица № 1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  <w:kern w:val="0"/>
          <w:color w:val="000000"/>
        </w:rPr>
      </w:pPr>
    </w:p>
    <w:tbl>
      <w:tblPr>
        <w:tblLayout w:type="fixed"/>
        <w:tblInd w:w="62" w:type="dxa"/>
        <w:tblW w:w="9639" w:type="dxa"/>
        <w:tblCellMar>
          <w:bottom w:w="102" w:type="dxa"/>
          <w:left w:w="62" w:type="dxa"/>
          <w:right w:w="62" w:type="dxa"/>
          <w:top w:w="102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720"/>
        <w:gridCol w:w="4320"/>
        <w:gridCol w:w="2190"/>
        <w:gridCol w:w="2409"/>
      </w:tblGrid>
      <w:t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№ п/п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Профилактические мероприятия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Периодичность проведения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Адресат мероприятия</w:t>
            </w:r>
          </w:p>
        </w:tc>
      </w:tr>
    </w:tbl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"/>
          <w:kern w:val="0"/>
          <w:color w:val="000000"/>
        </w:rPr>
      </w:pPr>
    </w:p>
    <w:tbl>
      <w:tblPr>
        <w:tblLayout w:type="fixed"/>
        <w:tblInd w:w="62" w:type="dxa"/>
        <w:tblW w:w="9639" w:type="dxa"/>
        <w:tblCellMar>
          <w:bottom w:w="102" w:type="dxa"/>
          <w:left w:w="62" w:type="dxa"/>
          <w:right w:w="62" w:type="dxa"/>
          <w:top w:w="102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720"/>
        <w:gridCol w:w="4320"/>
        <w:gridCol w:w="2190"/>
        <w:gridCol w:w="2409"/>
      </w:tblGrid>
      <w:tr>
        <w:trPr>
          <w:tblHeader w:val="true"/>
          <w:trHeight w:val="28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1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2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3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4</w:t>
            </w:r>
          </w:p>
        </w:tc>
      </w:tr>
      <w:tr>
        <w:tc>
          <w:tcPr>
            <w:vMerge w:val="restart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1.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Размещение на официальном сайте муниципального района «Карымский район» актуальной информации: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vMerge w:val="restart"/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поддерживать в актуальном состоянии</w:t>
            </w:r>
          </w:p>
        </w:tc>
        <w:tc>
          <w:tcPr>
            <w:vMerge w:val="continue"/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ff6600"/>
              </w:rPr>
            </w:pPr>
          </w:p>
        </w:tc>
      </w:tr>
      <w:t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по мере необходимости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hyperlink r:id="rId2">
              <w:r>
                <w:rPr>
                  <w:rFonts w:ascii="Times New Roman" w:eastAsia="Times New Roman" w:hAnsi="Times New Roman" w:cs="Times New Roman"/>
                  <w:sz w:val="24"/>
                  <w:kern w:val="0"/>
                  <w:color w:val="000000"/>
                </w:rPr>
                <w:t xml:space="preserve">перечень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поддерживать в актуальном состоянии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1327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перечень индикаторов риска нарушения обязательных требований, порядок отнесения объектов контроля к категориям риска;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не позднее 3 рабочих дней после утверждения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ff66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116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не позднее 10 рабочих дней после утверждения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ff66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216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течение 2022 г, поддерживать в актуальном состоянии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1389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сведения о способах получения консультаций по вопросам соблюдения обязательных требований;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течение 2022 г, поддерживать в актуальном состоянии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0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срок до 3 дней со дня утверждения доклада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(с периодичностью, не реже одного раза в год)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327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ежегодный доклад о муниципальном земельном контроле;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срок до 3 дней со дня утверждения доклада (не позднее 15 марта 2022 г.)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1880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письменные разъяснения, подписанные уполномоченным должностным лицом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случае осуществления консультирования по однотипным обращениям контролируемых лиц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440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Программы профилактики на 2023 г. 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не позднее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1 октября 2022 г.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(проект Программы для общественного обсуждения);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течение 5 дней со дня утверждения (утвержденной Программы)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40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Ежегодных планов проведения плановых контрольных (надзорных) мероприятий по муниципальному земельному контролю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в течение 5 рабочих дней со дня их утверждения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</w:rPr>
              <w:t xml:space="preserve">(до 15 декабря года, предшествующего году реализации ежегодного плана)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204" w:hRule="atLeast"/>
        </w:trPr>
        <w:tc>
          <w:tcPr>
            <w:vMerge w:val="restart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2.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153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публикаций в средствах массовой информации (газеты, журналы);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в течение 2022 года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63" w:hRule="atLeast"/>
        </w:trPr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публикаций на официальном сайте муниципального района «Карымский район»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в течение 2022 г.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2216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3.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ежегодно, не позднее 1 марта 2022 года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1076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4.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В соответствии с российским законодательством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3305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5.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По обращениям контролируемых лиц и их представителей, поступившим в течении 2022 года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188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6.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не реже чем 2 раза в год (I и IV квартал 2022 г.)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>
          <w:trHeight w:val="188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7.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муниципального района «Карымский район»  на 2023 год</w:t>
            </w:r>
          </w:p>
        </w:tc>
        <w:tc>
          <w:tcPr>
            <w:tcW w:type="dxa" w:w="2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не позднее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1 октября 2022 г. (разработка);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не позднее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20 декабря 2022 г.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(утверждение)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6"/>
          <w:kern w:val="0"/>
          <w:color w:val="000000"/>
        </w:rPr>
        <w:t xml:space="preserve">Раздел IV. Показатели результативности и эффективности программы профилактики рисков причинения вреда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Отдельное финансирование на проведение контрольных мероприятий и реализации настоящей программы не предусмотрено.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Текущее управление и контроль за ходом реализации Программы осуществляет администрация муниципального района «Карымский район». Ответственным исполнителем Программы является Комитет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Мониторинг реализации Программы осуществляется на регулярной основе.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района «Карымский район»в  информационно-коммуникационной сети «Интернет».</w:t>
      </w:r>
    </w:p>
    <w:p>
      <w:pPr>
        <w:suppressAutoHyphens/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0"/>
          <w:kern w:val="0"/>
          <w:color w:val="000000"/>
        </w:rPr>
      </w:pPr>
      <w:r>
        <w:rPr>
          <w:rFonts w:ascii="Calibri" w:eastAsia="Calibri" w:hAnsi="Calibri" w:cs="Calibri"/>
          <w:sz w:val="20"/>
          <w:kern w:val="0"/>
          <w:color w:val="000000"/>
        </w:rPr>
        <w:t xml:space="preserve">Таблица № 2</w:t>
      </w:r>
    </w:p>
    <w:p>
      <w:pPr>
        <w:suppressAutoHyphens/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0"/>
          <w:kern w:val="0"/>
          <w:color w:val="000000"/>
        </w:rPr>
      </w:pPr>
    </w:p>
    <w:tbl>
      <w:tblPr>
        <w:tblLayout w:type="fixed"/>
        <w:tblInd w:w="0" w:type="dxa"/>
        <w:tblW w:w="9701" w:type="dxa"/>
        <w:tblCellMar>
          <w:bottom w:w="102" w:type="dxa"/>
          <w:left w:w="62" w:type="dxa"/>
          <w:right w:w="62" w:type="dxa"/>
          <w:top w:w="102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720"/>
        <w:gridCol w:w="2319"/>
        <w:gridCol w:w="2268"/>
        <w:gridCol w:w="1985"/>
        <w:gridCol w:w="2409"/>
      </w:tblGrid>
      <w:t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№ п/п</w:t>
            </w:r>
          </w:p>
        </w:tc>
        <w:tc>
          <w:tcPr>
            <w:tcW w:type="dxa" w:w="2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ФИО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</w:tc>
        <w:tc>
          <w:tcPr>
            <w:tcW w:type="dxa" w:w="22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Должность</w:t>
            </w:r>
          </w:p>
        </w:tc>
        <w:tc>
          <w:tcPr>
            <w:tcW w:type="dxa" w:w="198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Функции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Контакты</w:t>
            </w:r>
          </w:p>
        </w:tc>
      </w:tr>
    </w:tbl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"/>
          <w:kern w:val="0"/>
          <w:color w:val="000000"/>
        </w:rPr>
      </w:pPr>
    </w:p>
    <w:tbl>
      <w:tblPr>
        <w:tblLayout w:type="fixed"/>
        <w:tblInd w:w="0" w:type="dxa"/>
        <w:tblW w:w="9701" w:type="dxa"/>
        <w:tblCellMar>
          <w:bottom w:w="102" w:type="dxa"/>
          <w:left w:w="62" w:type="dxa"/>
          <w:right w:w="62" w:type="dxa"/>
          <w:top w:w="102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720"/>
        <w:gridCol w:w="2319"/>
        <w:gridCol w:w="2268"/>
        <w:gridCol w:w="1985"/>
        <w:gridCol w:w="2409"/>
      </w:tblGrid>
      <w:tr>
        <w:trPr>
          <w:tblHeader w:val="true"/>
          <w:trHeight w:val="28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1</w:t>
            </w:r>
          </w:p>
        </w:tc>
        <w:tc>
          <w:tcPr>
            <w:tcW w:type="dxa" w:w="2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Петрушенко Оксана Николаевна</w:t>
            </w:r>
          </w:p>
        </w:tc>
        <w:tc>
          <w:tcPr>
            <w:tcW w:type="dxa" w:w="22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type="dxa" w:w="198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Организация и проведение мероприятий Программы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8(30234) 31094</w:t>
            </w:r>
          </w:p>
        </w:tc>
      </w:tr>
      <w:tr>
        <w:trPr>
          <w:tblHeader w:val="true"/>
          <w:trHeight w:val="28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2</w:t>
            </w:r>
          </w:p>
        </w:tc>
        <w:tc>
          <w:tcPr>
            <w:tcW w:type="dxa" w:w="2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Луконина Ольга Константиновна</w:t>
            </w:r>
          </w:p>
        </w:tc>
        <w:tc>
          <w:tcPr>
            <w:tcW w:type="dxa" w:w="22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Ведущий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type="dxa" w:w="198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Организация и проведение мероприятий Программы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8(30234)33113</w:t>
            </w:r>
          </w:p>
        </w:tc>
      </w:tr>
      <w:tr>
        <w:trPr>
          <w:tblHeader w:val="true"/>
          <w:trHeight w:val="28" w:hRule="atLeast"/>
        </w:trPr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3</w:t>
            </w:r>
          </w:p>
        </w:tc>
        <w:tc>
          <w:tcPr>
            <w:tcW w:type="dxa" w:w="231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Парыгина Ирина Станиславовна</w:t>
            </w:r>
          </w:p>
        </w:tc>
        <w:tc>
          <w:tcPr>
            <w:tcW w:type="dxa" w:w="22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Инженер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type="dxa" w:w="198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Проведение мероприятий Программы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  <w:t xml:space="preserve">8(30234)31094</w:t>
            </w:r>
          </w:p>
        </w:tc>
      </w:tr>
    </w:tbl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6"/>
          <w:kern w:val="0"/>
          <w:color w:val="000000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Целевые показатели результативности мероприятий Программы по муниципальному земельному контролю: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1) Количество выявленных нарушений требований земельного законодательства, шт.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Показатели эффективности: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2) Количество проведенных профилактических мероприятий контрольным (надзорным) органом, ед.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3) Доля профилактических мероприятий в объеме контрольно-надзорных мероприятий, %.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Отчетным периодом для определения значений показателей является календарный год.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  <w:kern w:val="0"/>
        </w:rPr>
      </w:pPr>
      <w:r>
        <w:rPr>
          <w:rFonts w:ascii="Times New Roman" w:eastAsia="Times New Roman" w:hAnsi="Times New Roman" w:cs="Times New Roman"/>
          <w:sz w:val="26"/>
          <w:kern w:val="0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>
      <w:pPr>
        <w:suppressAutoHyphens/>
        <w:jc w:val="right"/>
        <w:textAlignment w:val="auto"/>
        <w:ind w:left="0" w:right="-273" w:start="0" w:end="-273"/>
        <w:adjustRightInd w:val="true"/>
        <w:spacing w:after="0" w:line="240"/>
        <w:bidi w:val="false"/>
        <w:rPr>
          <w:rFonts w:ascii="Calibri" w:eastAsia="Calibri" w:hAnsi="Calibri" w:cs="Calibri"/>
          <w:sz w:val="20"/>
          <w:kern w:val="0"/>
          <w:color w:val="000000"/>
        </w:rPr>
      </w:pPr>
      <w:r>
        <w:rPr>
          <w:rFonts w:ascii="Calibri" w:eastAsia="Calibri" w:hAnsi="Calibri" w:cs="Calibri"/>
          <w:sz w:val="20"/>
          <w:kern w:val="0"/>
          <w:color w:val="000000"/>
        </w:rPr>
        <w:t xml:space="preserve">Таблица № 3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8"/>
        </w:tabs>
        <w:rPr>
          <w:rFonts w:ascii="Times New Roman" w:eastAsia="Times New Roman" w:hAnsi="Times New Roman" w:cs="Times New Roman"/>
          <w:sz w:val="28"/>
          <w:kern w:val="0"/>
          <w:color w:val="000000"/>
        </w:rPr>
      </w:pPr>
    </w:p>
    <w:tbl>
      <w:tblPr>
        <w:tblLayout w:type="fixed"/>
        <w:tblInd w:w="-401" w:type="dxa"/>
        <w:tblW w:w="10206" w:type="dxa"/>
        <w:tblCellMar>
          <w:bottom w:w="102" w:type="dxa"/>
          <w:left w:w="62" w:type="dxa"/>
          <w:right w:w="62" w:type="dxa"/>
          <w:top w:w="102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>
        <w:tc>
          <w:tcPr>
            <w:vMerge w:val="restart"/>
            <w:tcW w:type="dxa" w:w="4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№ п/п</w:t>
            </w:r>
          </w:p>
        </w:tc>
        <w:tc>
          <w:tcPr>
            <w:vMerge w:val="restart"/>
            <w:tcW w:type="dxa" w:w="18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Наименование мероприятия</w:t>
            </w:r>
          </w:p>
        </w:tc>
        <w:tc>
          <w:tcPr>
            <w:vMerge w:val="restart"/>
            <w:tcW w:type="dxa" w:w="9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Сроки исполнения</w:t>
            </w:r>
          </w:p>
        </w:tc>
        <w:tc>
          <w:tcPr>
            <w:tcW w:type="dxa" w:w="45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Показатели результатов деятельности</w:t>
            </w:r>
          </w:p>
        </w:tc>
        <w:tc>
          <w:tcPr>
            <w:tcW w:type="dxa" w:w="240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4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Бюджетные ассигнования в разрезе бюджетов (расход), тыс. руб.</w:t>
            </w:r>
          </w:p>
        </w:tc>
      </w:tr>
      <w:tr>
        <w:tc>
          <w:tcPr>
            <w:vMerge w:val="continue"/>
            <w:tcW w:type="dxa" w:w="4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vMerge w:val="continue"/>
            <w:tcW w:type="dxa" w:w="18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vMerge w:val="continue"/>
            <w:tcW w:type="dxa" w:w="9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tcW w:type="dxa" w:w="17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Наименование показателя (*)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ед. изм.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Пла-новое значе-ние</w:t>
            </w:r>
          </w:p>
        </w:tc>
        <w:tc>
          <w:tcPr>
            <w:tcW w:type="dxa" w:w="85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Фак-тическ-ое значе-ние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Отк-ло-не-ние,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(-/+, %)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ФБ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ОБ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МБ</w:t>
            </w:r>
          </w:p>
        </w:tc>
        <w:tc>
          <w:tcPr>
            <w:tcW w:type="dxa" w:w="7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20"/>
                <w:kern w:val="0"/>
                <w:color w:val="000000"/>
              </w:rPr>
              <w:t xml:space="preserve">Иные</w:t>
            </w:r>
          </w:p>
        </w:tc>
      </w:tr>
      <w:tr>
        <w:trPr>
          <w:trHeight w:val="3958" w:hRule="atLeast"/>
        </w:trPr>
        <w:tc>
          <w:tcPr>
            <w:tcW w:type="dxa" w:w="4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1.</w:t>
            </w:r>
          </w:p>
        </w:tc>
        <w:tc>
          <w:tcPr>
            <w:tcW w:type="dxa" w:w="18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  <w:kern w:val="0"/>
                <w:color w:val="000000"/>
              </w:rPr>
            </w:pP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  <w:t xml:space="preserve">Программа (План)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  <w:t xml:space="preserve">«Профилактика рисков причинения вреда (ущерба) охраняемым законом ценностям по муниципальному земельному контролю на территории сельских поселений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  <w:t xml:space="preserve">муниципального района «Карымский район» на 2022 год»</w:t>
            </w:r>
          </w:p>
        </w:tc>
        <w:tc>
          <w:tcPr>
            <w:tcW w:type="dxa" w:w="9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2022 год</w:t>
            </w:r>
          </w:p>
        </w:tc>
        <w:tc>
          <w:tcPr>
            <w:tcW w:type="dxa" w:w="17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kern w:val="0"/>
                <w:color w:val="000000"/>
              </w:rPr>
              <w:t xml:space="preserve">Выполнение запланированных мероприятий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%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100%</w:t>
            </w:r>
          </w:p>
        </w:tc>
        <w:tc>
          <w:tcPr>
            <w:tcW w:type="dxa" w:w="85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60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60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0,00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0,00</w:t>
            </w:r>
          </w:p>
        </w:tc>
        <w:tc>
          <w:tcPr>
            <w:tcW w:type="dxa" w:w="56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0,00</w:t>
            </w:r>
          </w:p>
        </w:tc>
        <w:tc>
          <w:tcPr>
            <w:tcW w:type="dxa" w:w="7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</w:p>
          <w:p>
            <w:pPr>
              <w:suppressAutoHyphens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  <w:kern w:val="0"/>
                <w:color w:val="000000"/>
              </w:rPr>
            </w:pPr>
            <w:r>
              <w:rPr>
                <w:rFonts w:ascii="Arial" w:eastAsia="Arial" w:hAnsi="Arial" w:cs="Arial"/>
                <w:sz w:val="20"/>
                <w:kern w:val="0"/>
                <w:color w:val="000000"/>
              </w:rPr>
              <w:t xml:space="preserve">0,00</w:t>
            </w:r>
          </w:p>
        </w:tc>
      </w:tr>
    </w:tbl>
    <w:p>
      <w:pPr>
        <w:suppressAutoHyphens/>
        <w:jc w:val="both"/>
        <w:textAlignment w:val="baseline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  <w:kern w:val="3"/>
        </w:rPr>
      </w:pPr>
    </w:p>
    <w:p>
      <w:pPr>
        <w:suppressAutoHyphens/>
        <w:jc w:val="both"/>
        <w:textAlignment w:val="auto"/>
        <w:ind w:hanging="1416" w:left="1416" w:right="0" w:start="141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  <w:kern w:val="0"/>
        </w:rPr>
      </w:pPr>
    </w:p>
    <w:p>
      <w:pPr>
        <w:suppressAutoHyphens/>
        <w:jc w:val="both"/>
        <w:textAlignment w:val="auto"/>
        <w:ind w:hanging="1416" w:left="1416" w:right="0" w:start="141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  <w:kern w:val="2"/>
          <w:color w:val="000000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SimSun">
    <w:altName w:val="???Ўм§А?§ЮЎм???§ЮЎм§Ў?Ўм§А?-???Ўм§А?§ЮЎм???§Ю"/>
    <w:panose1 w:val="02010600030101010101"/>
    <w:family w:val="auto"/>
    <w:charset w:val="86"/>
    <w:pitch w:val="variable"/>
  </w:font>
  <w:font w:name="Mangal">
    <w:panose1 w:val="02040503050203030202"/>
    <w:family w:val="roman"/>
    <w:charset w:val="00"/>
    <w:pitch w:val="variable"/>
  </w:font>
  <w:font w:name="Cambria Math">
    <w:panose1 w:val="020405030504060302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ahoma">
    <w:panose1 w:val="020b0604030504040204"/>
    <w:family w:val="swiss"/>
    <w:charset w:val="CC"/>
    <w:pitch w:val="variable"/>
  </w:font>
  <w:font w:name="@SimSun">
    <w:panose1 w:val="02010600030101010101"/>
    <w:family w:val="auto"/>
    <w:charset w:val="86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474</TotalTime>
  <Pages>11</Pages>
  <Words>2293</Words>
  <Characters>18966</Characters>
  <CharactersWithSpaces>21217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